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BF" w:rsidRDefault="00E746BF">
      <w:pPr>
        <w:rPr>
          <w:b/>
          <w:sz w:val="28"/>
          <w:szCs w:val="28"/>
          <w:lang w:val="en-GB"/>
        </w:rPr>
      </w:pPr>
    </w:p>
    <w:p w:rsidR="000C2398" w:rsidRPr="00E746BF" w:rsidRDefault="004B74F4">
      <w:pPr>
        <w:rPr>
          <w:b/>
          <w:sz w:val="28"/>
          <w:szCs w:val="28"/>
          <w:lang w:val="en-GB"/>
        </w:rPr>
      </w:pPr>
      <w:r w:rsidRPr="00E746BF">
        <w:rPr>
          <w:b/>
          <w:sz w:val="28"/>
          <w:szCs w:val="28"/>
          <w:lang w:val="en-GB"/>
        </w:rPr>
        <w:t>P</w:t>
      </w:r>
      <w:r w:rsidR="000E1B66" w:rsidRPr="00E746BF">
        <w:rPr>
          <w:b/>
          <w:sz w:val="28"/>
          <w:szCs w:val="28"/>
          <w:lang w:val="en-GB"/>
        </w:rPr>
        <w:t>roje</w:t>
      </w:r>
      <w:r w:rsidR="001C78FC">
        <w:rPr>
          <w:b/>
          <w:sz w:val="28"/>
          <w:szCs w:val="28"/>
          <w:lang w:val="en-GB"/>
        </w:rPr>
        <w:t>ct</w:t>
      </w:r>
      <w:r w:rsidRPr="00E746BF">
        <w:rPr>
          <w:b/>
          <w:sz w:val="28"/>
          <w:szCs w:val="28"/>
          <w:lang w:val="en-GB"/>
        </w:rPr>
        <w:t xml:space="preserve"> selected in the second call of CORE Organic II. Project period: </w:t>
      </w:r>
      <w:r w:rsidR="006114D4">
        <w:rPr>
          <w:b/>
          <w:sz w:val="28"/>
          <w:szCs w:val="28"/>
          <w:lang w:val="en-GB"/>
        </w:rPr>
        <w:t>2013</w:t>
      </w:r>
      <w:r w:rsidR="00807930" w:rsidRPr="00E746BF">
        <w:rPr>
          <w:b/>
          <w:sz w:val="28"/>
          <w:szCs w:val="28"/>
          <w:lang w:val="en-GB"/>
        </w:rPr>
        <w:t>-2015</w:t>
      </w:r>
      <w:r w:rsidR="000E1B66" w:rsidRPr="00E746BF">
        <w:rPr>
          <w:b/>
          <w:sz w:val="28"/>
          <w:szCs w:val="28"/>
          <w:lang w:val="en-GB"/>
        </w:rPr>
        <w:t xml:space="preserve"> </w:t>
      </w:r>
    </w:p>
    <w:tbl>
      <w:tblPr>
        <w:tblW w:w="105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1843"/>
        <w:gridCol w:w="7763"/>
      </w:tblGrid>
      <w:tr w:rsidR="004B74F4" w:rsidRPr="004B74F4" w:rsidTr="00E746BF">
        <w:trPr>
          <w:trHeight w:val="300"/>
        </w:trPr>
        <w:tc>
          <w:tcPr>
            <w:tcW w:w="993" w:type="dxa"/>
            <w:shd w:val="clear" w:color="auto" w:fill="auto"/>
            <w:noWrap/>
            <w:vAlign w:val="bottom"/>
          </w:tcPr>
          <w:p w:rsidR="004B74F4" w:rsidRPr="004B74F4" w:rsidRDefault="004B74F4" w:rsidP="00954FD5">
            <w:pPr>
              <w:spacing w:after="0" w:line="240" w:lineRule="auto"/>
              <w:rPr>
                <w:rFonts w:eastAsia="Times New Roman" w:cs="Calibri"/>
                <w:b/>
                <w:bCs/>
                <w:color w:val="000000" w:themeColor="text1"/>
                <w:lang w:eastAsia="da-DK"/>
              </w:rPr>
            </w:pPr>
            <w:proofErr w:type="spellStart"/>
            <w:r>
              <w:rPr>
                <w:rFonts w:eastAsia="Times New Roman" w:cs="Calibri"/>
                <w:b/>
                <w:bCs/>
                <w:color w:val="000000" w:themeColor="text1"/>
                <w:lang w:eastAsia="da-DK"/>
              </w:rPr>
              <w:t>Acronym</w:t>
            </w:r>
            <w:proofErr w:type="spellEnd"/>
          </w:p>
        </w:tc>
        <w:tc>
          <w:tcPr>
            <w:tcW w:w="1843" w:type="dxa"/>
            <w:shd w:val="clear" w:color="auto" w:fill="auto"/>
            <w:noWrap/>
            <w:vAlign w:val="bottom"/>
          </w:tcPr>
          <w:p w:rsidR="004B74F4" w:rsidRPr="004B74F4" w:rsidRDefault="004B74F4" w:rsidP="00954FD5">
            <w:pPr>
              <w:spacing w:after="0" w:line="240" w:lineRule="auto"/>
              <w:rPr>
                <w:rFonts w:eastAsia="Times New Roman" w:cs="Calibri"/>
                <w:b/>
                <w:bCs/>
                <w:color w:val="000000" w:themeColor="text1"/>
                <w:lang w:eastAsia="da-DK"/>
              </w:rPr>
            </w:pPr>
            <w:r>
              <w:rPr>
                <w:rFonts w:eastAsia="Times New Roman" w:cs="Calibri"/>
                <w:b/>
                <w:bCs/>
                <w:color w:val="000000" w:themeColor="text1"/>
                <w:lang w:eastAsia="da-DK"/>
              </w:rPr>
              <w:t xml:space="preserve">Project </w:t>
            </w:r>
            <w:proofErr w:type="spellStart"/>
            <w:r>
              <w:rPr>
                <w:rFonts w:eastAsia="Times New Roman" w:cs="Calibri"/>
                <w:b/>
                <w:bCs/>
                <w:color w:val="000000" w:themeColor="text1"/>
                <w:lang w:eastAsia="da-DK"/>
              </w:rPr>
              <w:t>title</w:t>
            </w:r>
            <w:proofErr w:type="spellEnd"/>
          </w:p>
        </w:tc>
        <w:tc>
          <w:tcPr>
            <w:tcW w:w="7763" w:type="dxa"/>
            <w:tcBorders>
              <w:top w:val="single" w:sz="4" w:space="0" w:color="auto"/>
              <w:bottom w:val="single" w:sz="4" w:space="0" w:color="auto"/>
            </w:tcBorders>
            <w:shd w:val="clear" w:color="auto" w:fill="auto"/>
            <w:vAlign w:val="bottom"/>
          </w:tcPr>
          <w:p w:rsidR="004B74F4" w:rsidRPr="004B74F4" w:rsidRDefault="004B74F4" w:rsidP="00954FD5">
            <w:pPr>
              <w:spacing w:after="0" w:line="240" w:lineRule="auto"/>
              <w:rPr>
                <w:rFonts w:eastAsia="Times New Roman" w:cs="Calibri"/>
                <w:b/>
                <w:bCs/>
                <w:color w:val="000000" w:themeColor="text1"/>
                <w:lang w:eastAsia="da-DK"/>
              </w:rPr>
            </w:pPr>
            <w:proofErr w:type="spellStart"/>
            <w:r w:rsidRPr="004B74F4">
              <w:rPr>
                <w:rFonts w:eastAsia="Times New Roman" w:cs="Calibri"/>
                <w:b/>
                <w:bCs/>
                <w:color w:val="000000" w:themeColor="text1"/>
                <w:lang w:eastAsia="da-DK"/>
              </w:rPr>
              <w:t>Coordinator</w:t>
            </w:r>
            <w:proofErr w:type="spellEnd"/>
            <w:r w:rsidRPr="004B74F4">
              <w:rPr>
                <w:rFonts w:eastAsia="Times New Roman" w:cs="Calibri"/>
                <w:b/>
                <w:bCs/>
                <w:color w:val="000000" w:themeColor="text1"/>
                <w:lang w:eastAsia="da-DK"/>
              </w:rPr>
              <w:t xml:space="preserve"> and </w:t>
            </w:r>
            <w:proofErr w:type="spellStart"/>
            <w:r w:rsidRPr="004B74F4">
              <w:rPr>
                <w:rFonts w:eastAsia="Times New Roman" w:cs="Calibri"/>
                <w:b/>
                <w:bCs/>
                <w:color w:val="000000" w:themeColor="text1"/>
                <w:lang w:eastAsia="da-DK"/>
              </w:rPr>
              <w:t>countries</w:t>
            </w:r>
            <w:proofErr w:type="spellEnd"/>
            <w:r w:rsidRPr="004B74F4">
              <w:rPr>
                <w:rFonts w:eastAsia="Times New Roman" w:cs="Calibri"/>
                <w:b/>
                <w:bCs/>
                <w:color w:val="000000" w:themeColor="text1"/>
                <w:lang w:eastAsia="da-DK"/>
              </w:rPr>
              <w:t xml:space="preserve"> </w:t>
            </w:r>
            <w:proofErr w:type="spellStart"/>
            <w:r w:rsidRPr="004B74F4">
              <w:rPr>
                <w:rFonts w:eastAsia="Times New Roman" w:cs="Calibri"/>
                <w:b/>
                <w:bCs/>
                <w:color w:val="000000" w:themeColor="text1"/>
                <w:lang w:eastAsia="da-DK"/>
              </w:rPr>
              <w:t>involved</w:t>
            </w:r>
            <w:proofErr w:type="spellEnd"/>
          </w:p>
        </w:tc>
      </w:tr>
      <w:tr w:rsidR="00A47358" w:rsidRPr="00FB2A44" w:rsidTr="00E746BF">
        <w:trPr>
          <w:trHeight w:val="300"/>
        </w:trPr>
        <w:tc>
          <w:tcPr>
            <w:tcW w:w="993" w:type="dxa"/>
            <w:shd w:val="clear" w:color="auto" w:fill="auto"/>
            <w:noWrap/>
          </w:tcPr>
          <w:p w:rsidR="00A47358" w:rsidRPr="004B74F4" w:rsidRDefault="00A47358" w:rsidP="000E1B66">
            <w:pPr>
              <w:spacing w:after="0" w:line="240" w:lineRule="auto"/>
              <w:rPr>
                <w:rFonts w:eastAsia="Times New Roman" w:cs="Calibri"/>
                <w:color w:val="000000" w:themeColor="text1"/>
                <w:lang w:eastAsia="da-DK"/>
              </w:rPr>
            </w:pPr>
            <w:proofErr w:type="spellStart"/>
            <w:r w:rsidRPr="004B74F4">
              <w:rPr>
                <w:rFonts w:eastAsia="Times New Roman" w:cs="Calibri"/>
                <w:color w:val="000000" w:themeColor="text1"/>
                <w:lang w:eastAsia="da-DK"/>
              </w:rPr>
              <w:t>Healthy</w:t>
            </w:r>
            <w:proofErr w:type="spellEnd"/>
            <w:r w:rsidR="00E746BF">
              <w:rPr>
                <w:rFonts w:eastAsia="Times New Roman" w:cs="Calibri"/>
                <w:color w:val="000000" w:themeColor="text1"/>
                <w:lang w:eastAsia="da-DK"/>
              </w:rPr>
              <w:t xml:space="preserve"> </w:t>
            </w:r>
            <w:r w:rsidRPr="004B74F4">
              <w:rPr>
                <w:rFonts w:eastAsia="Times New Roman" w:cs="Calibri"/>
                <w:color w:val="000000" w:themeColor="text1"/>
                <w:lang w:eastAsia="da-DK"/>
              </w:rPr>
              <w:t>Growth</w:t>
            </w:r>
          </w:p>
        </w:tc>
        <w:tc>
          <w:tcPr>
            <w:tcW w:w="1843" w:type="dxa"/>
            <w:shd w:val="clear" w:color="auto" w:fill="auto"/>
            <w:noWrap/>
          </w:tcPr>
          <w:p w:rsidR="00A47358" w:rsidRPr="00350B92" w:rsidRDefault="00A47358" w:rsidP="000E1B66">
            <w:pPr>
              <w:spacing w:after="0" w:line="240" w:lineRule="auto"/>
              <w:rPr>
                <w:rFonts w:eastAsia="Times New Roman" w:cs="Calibri"/>
                <w:color w:val="000000" w:themeColor="text1"/>
                <w:lang w:val="en-GB" w:eastAsia="da-DK"/>
              </w:rPr>
            </w:pPr>
            <w:r w:rsidRPr="00350B92">
              <w:rPr>
                <w:rFonts w:eastAsia="Times New Roman" w:cs="Calibri"/>
                <w:color w:val="000000" w:themeColor="text1"/>
                <w:lang w:val="en-GB" w:eastAsia="da-DK"/>
              </w:rPr>
              <w:t>Healthy growth: From niche to volume with integrity and trust</w:t>
            </w:r>
          </w:p>
        </w:tc>
        <w:tc>
          <w:tcPr>
            <w:tcW w:w="7763" w:type="dxa"/>
            <w:tcBorders>
              <w:top w:val="single" w:sz="4" w:space="0" w:color="auto"/>
              <w:bottom w:val="single" w:sz="4" w:space="0" w:color="auto"/>
            </w:tcBorders>
            <w:shd w:val="clear" w:color="auto" w:fill="auto"/>
          </w:tcPr>
          <w:p w:rsidR="00A47358" w:rsidRPr="00350B92" w:rsidRDefault="00A47358" w:rsidP="00A47358">
            <w:pPr>
              <w:tabs>
                <w:tab w:val="left" w:pos="1112"/>
              </w:tabs>
              <w:spacing w:after="0" w:line="240" w:lineRule="auto"/>
              <w:ind w:left="356" w:hanging="356"/>
              <w:rPr>
                <w:rFonts w:eastAsia="Times New Roman" w:cs="Calibri"/>
                <w:color w:val="000000" w:themeColor="text1"/>
                <w:lang w:val="en-GB" w:eastAsia="da-DK"/>
              </w:rPr>
            </w:pPr>
            <w:r w:rsidRPr="00350B92">
              <w:rPr>
                <w:rFonts w:eastAsia="Times New Roman" w:cs="Calibri"/>
                <w:color w:val="000000" w:themeColor="text1"/>
                <w:lang w:val="en-GB" w:eastAsia="da-DK"/>
              </w:rPr>
              <w:t xml:space="preserve">Coordinator: Associate Professor </w:t>
            </w:r>
            <w:proofErr w:type="spellStart"/>
            <w:r w:rsidRPr="00350B92">
              <w:rPr>
                <w:rFonts w:eastAsia="Times New Roman" w:cs="Calibri"/>
                <w:color w:val="000000" w:themeColor="text1"/>
                <w:lang w:val="en-GB" w:eastAsia="da-DK"/>
              </w:rPr>
              <w:t>Egon</w:t>
            </w:r>
            <w:proofErr w:type="spellEnd"/>
            <w:r w:rsidRPr="00350B92">
              <w:rPr>
                <w:rFonts w:eastAsia="Times New Roman" w:cs="Calibri"/>
                <w:color w:val="000000" w:themeColor="text1"/>
                <w:lang w:val="en-GB" w:eastAsia="da-DK"/>
              </w:rPr>
              <w:t xml:space="preserve"> </w:t>
            </w:r>
            <w:proofErr w:type="spellStart"/>
            <w:r w:rsidRPr="00350B92">
              <w:rPr>
                <w:rFonts w:eastAsia="Times New Roman" w:cs="Calibri"/>
                <w:color w:val="000000" w:themeColor="text1"/>
                <w:lang w:val="en-GB" w:eastAsia="da-DK"/>
              </w:rPr>
              <w:t>Noe</w:t>
            </w:r>
            <w:proofErr w:type="spellEnd"/>
            <w:r w:rsidRPr="00350B92">
              <w:rPr>
                <w:rFonts w:eastAsia="Times New Roman" w:cs="Calibri"/>
                <w:color w:val="000000" w:themeColor="text1"/>
                <w:lang w:val="en-GB" w:eastAsia="da-DK"/>
              </w:rPr>
              <w:t xml:space="preserve">, </w:t>
            </w:r>
            <w:proofErr w:type="spellStart"/>
            <w:r w:rsidRPr="00350B92">
              <w:rPr>
                <w:rFonts w:eastAsia="Times New Roman" w:cs="Calibri"/>
                <w:color w:val="000000" w:themeColor="text1"/>
                <w:lang w:val="en-GB" w:eastAsia="da-DK"/>
              </w:rPr>
              <w:t>Agroecology</w:t>
            </w:r>
            <w:proofErr w:type="spellEnd"/>
            <w:r w:rsidRPr="00350B92">
              <w:rPr>
                <w:rFonts w:eastAsia="Times New Roman" w:cs="Calibri"/>
                <w:color w:val="000000" w:themeColor="text1"/>
                <w:lang w:val="en-GB" w:eastAsia="da-DK"/>
              </w:rPr>
              <w:t>, Aarhus University, Denmark.</w:t>
            </w:r>
          </w:p>
          <w:p w:rsidR="00A47358" w:rsidRPr="00E746BF" w:rsidRDefault="00E746BF" w:rsidP="00FB2A44">
            <w:pPr>
              <w:tabs>
                <w:tab w:val="left" w:pos="1112"/>
              </w:tabs>
              <w:spacing w:after="0" w:line="240" w:lineRule="auto"/>
              <w:ind w:left="356" w:hanging="356"/>
              <w:rPr>
                <w:rFonts w:eastAsia="Times New Roman" w:cs="Calibri"/>
                <w:color w:val="000000" w:themeColor="text1"/>
                <w:lang w:val="en-GB" w:eastAsia="da-DK"/>
              </w:rPr>
            </w:pPr>
            <w:r w:rsidRPr="00E746BF">
              <w:rPr>
                <w:rFonts w:eastAsia="Times New Roman" w:cs="Calibri"/>
                <w:color w:val="000000" w:themeColor="text1"/>
                <w:lang w:val="en-GB" w:eastAsia="da-DK"/>
              </w:rPr>
              <w:t xml:space="preserve">Countries: </w:t>
            </w:r>
            <w:r w:rsidR="00A47358" w:rsidRPr="00E746BF">
              <w:rPr>
                <w:rFonts w:eastAsia="Times New Roman" w:cs="Calibri"/>
                <w:color w:val="000000" w:themeColor="text1"/>
                <w:lang w:val="en-GB" w:eastAsia="da-DK"/>
              </w:rPr>
              <w:t xml:space="preserve">Austria, </w:t>
            </w:r>
            <w:r w:rsidR="00A47358" w:rsidRPr="00350B92">
              <w:rPr>
                <w:rFonts w:eastAsia="Times New Roman" w:cs="Calibri"/>
                <w:color w:val="000000" w:themeColor="text1"/>
                <w:lang w:val="en-GB" w:eastAsia="da-DK"/>
              </w:rPr>
              <w:t>Denmark</w:t>
            </w:r>
            <w:r w:rsidR="00A47358" w:rsidRPr="00E746BF">
              <w:rPr>
                <w:rFonts w:eastAsia="Times New Roman" w:cs="Calibri"/>
                <w:color w:val="000000" w:themeColor="text1"/>
                <w:lang w:val="en-GB" w:eastAsia="da-DK"/>
              </w:rPr>
              <w:t xml:space="preserve">, Finland, France, Germany, </w:t>
            </w:r>
            <w:r w:rsidR="00FB2A44" w:rsidRPr="00E746BF">
              <w:rPr>
                <w:rFonts w:eastAsia="Times New Roman" w:cs="Calibri"/>
                <w:color w:val="000000" w:themeColor="text1"/>
                <w:lang w:val="en-GB" w:eastAsia="da-DK"/>
              </w:rPr>
              <w:t>Lithuania</w:t>
            </w:r>
            <w:r w:rsidR="00FB2A44">
              <w:rPr>
                <w:rFonts w:eastAsia="Times New Roman" w:cs="Calibri"/>
                <w:color w:val="000000" w:themeColor="text1"/>
                <w:lang w:val="en-GB" w:eastAsia="da-DK"/>
              </w:rPr>
              <w:t>,</w:t>
            </w:r>
            <w:r w:rsidR="00FB2A44" w:rsidRPr="00E746BF">
              <w:rPr>
                <w:rFonts w:eastAsia="Times New Roman" w:cs="Calibri"/>
                <w:color w:val="000000" w:themeColor="text1"/>
                <w:lang w:val="en-GB" w:eastAsia="da-DK"/>
              </w:rPr>
              <w:t xml:space="preserve"> </w:t>
            </w:r>
            <w:r w:rsidR="00A47358" w:rsidRPr="00E746BF">
              <w:rPr>
                <w:rFonts w:eastAsia="Times New Roman" w:cs="Calibri"/>
                <w:color w:val="000000" w:themeColor="text1"/>
                <w:lang w:val="en-GB" w:eastAsia="da-DK"/>
              </w:rPr>
              <w:t xml:space="preserve">Norway, Slovenia, Sweden and Turkey. </w:t>
            </w:r>
            <w:bookmarkStart w:id="0" w:name="_GoBack"/>
            <w:bookmarkEnd w:id="0"/>
          </w:p>
        </w:tc>
      </w:tr>
      <w:tr w:rsidR="00A47358" w:rsidRPr="00FB2A44" w:rsidTr="00E746BF">
        <w:trPr>
          <w:trHeight w:val="300"/>
        </w:trPr>
        <w:tc>
          <w:tcPr>
            <w:tcW w:w="10599" w:type="dxa"/>
            <w:gridSpan w:val="3"/>
            <w:shd w:val="clear" w:color="auto" w:fill="auto"/>
            <w:noWrap/>
          </w:tcPr>
          <w:p w:rsidR="00A47358" w:rsidRPr="004B74F4" w:rsidRDefault="00A47358" w:rsidP="00A47358">
            <w:pPr>
              <w:tabs>
                <w:tab w:val="left" w:pos="1112"/>
              </w:tabs>
              <w:spacing w:after="0" w:line="240" w:lineRule="auto"/>
              <w:ind w:left="356" w:hanging="356"/>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Project summary: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Organic markets are different in different European countries, but common to all is that local organic market chains have inherent problems in moving from niche to volume, and mainstream large-scale market chains have inherent problems in securing and advancing organic values.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HEALTHYGROWTH aims to investigate a range of successful mid-scale organic value chains in order to learn how they are able to combine volume and values, and to use this knowledge of the prerequisites for healthy growth to support the further development of the organic markets.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The project builds on the following hypotheses, derived from previous research: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1) these midscale value chains are based on new forms of organisations and partnerships between farmers, businesses and consumers, and a different form of marketing logic and strategies than either small- or large-scale chains;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2) this enables them to combine growth in volume with a high and growing level of organic values throughout the market chain as a sound foundation for organic integrity and consumer trust;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3) these new organisational forms constitute a substantial potential for development and growth of organic markets; and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4) </w:t>
            </w:r>
            <w:proofErr w:type="gramStart"/>
            <w:r w:rsidRPr="004B74F4">
              <w:rPr>
                <w:rFonts w:eastAsia="Times New Roman" w:cs="Calibri"/>
                <w:color w:val="000000" w:themeColor="text1"/>
                <w:lang w:val="en-GB" w:eastAsia="da-DK"/>
              </w:rPr>
              <w:t>lessons</w:t>
            </w:r>
            <w:proofErr w:type="gramEnd"/>
            <w:r w:rsidRPr="004B74F4">
              <w:rPr>
                <w:rFonts w:eastAsia="Times New Roman" w:cs="Calibri"/>
                <w:color w:val="000000" w:themeColor="text1"/>
                <w:lang w:val="en-GB" w:eastAsia="da-DK"/>
              </w:rPr>
              <w:t xml:space="preserve"> learned from the successful mid-scale chains will provide new options for small-scale producers to act and compete on the market while ensuring a premium prize for their added organic values. </w:t>
            </w:r>
          </w:p>
          <w:p w:rsidR="00A47358" w:rsidRPr="004B74F4" w:rsidRDefault="00A47358" w:rsidP="00A47358">
            <w:pPr>
              <w:tabs>
                <w:tab w:val="left" w:pos="1112"/>
              </w:tabs>
              <w:spacing w:after="0" w:line="240" w:lineRule="auto"/>
              <w:rPr>
                <w:rFonts w:eastAsia="Times New Roman" w:cs="Calibri"/>
                <w:color w:val="000000" w:themeColor="text1"/>
                <w:lang w:val="en-GB" w:eastAsia="da-DK"/>
              </w:rPr>
            </w:pPr>
          </w:p>
          <w:p w:rsidR="004B74F4"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 xml:space="preserve">The research work will be done in a close cooperation and interaction between the eleven partners. In-depth case studies of mid-scale organic value chains will be carried out in nine participating countries, followed by a comparative analysis across countries. The cross-country comparison of value chain cases will be based on six different research perspectives, plus a multi-perspectival meta-analysis, to obtain a nuanced and coherent understanding of the underlying mechanisms and principles for healthy growth. Stakeholder involvement in joint learning processes and transnational dissemination of the results are planned as a dynamic and integrated part of the project in order to share and adapt knowledge between countries and to enhance network building among actors within regions and across borders. </w:t>
            </w:r>
          </w:p>
          <w:p w:rsidR="004B74F4" w:rsidRDefault="004B74F4" w:rsidP="00A47358">
            <w:pPr>
              <w:tabs>
                <w:tab w:val="left" w:pos="1112"/>
              </w:tabs>
              <w:spacing w:after="0" w:line="240" w:lineRule="auto"/>
              <w:rPr>
                <w:rFonts w:eastAsia="Times New Roman" w:cs="Calibri"/>
                <w:color w:val="000000" w:themeColor="text1"/>
                <w:lang w:val="en-GB" w:eastAsia="da-DK"/>
              </w:rPr>
            </w:pPr>
          </w:p>
          <w:p w:rsidR="00A47358" w:rsidRDefault="00A47358" w:rsidP="00A47358">
            <w:pPr>
              <w:tabs>
                <w:tab w:val="left" w:pos="1112"/>
              </w:tabs>
              <w:spacing w:after="0" w:line="240" w:lineRule="auto"/>
              <w:rPr>
                <w:rFonts w:eastAsia="Times New Roman" w:cs="Calibri"/>
                <w:color w:val="000000" w:themeColor="text1"/>
                <w:lang w:val="en-GB" w:eastAsia="da-DK"/>
              </w:rPr>
            </w:pPr>
            <w:r w:rsidRPr="004B74F4">
              <w:rPr>
                <w:rFonts w:eastAsia="Times New Roman" w:cs="Calibri"/>
                <w:color w:val="000000" w:themeColor="text1"/>
                <w:lang w:val="en-GB" w:eastAsia="da-DK"/>
              </w:rPr>
              <w:t>The project will provide knowledge on how integrity and trust can be maintained in the growth from niche to volume, and develop general as well as locally adapted recommendations for the development of organic markets. The target groups are not only other mid-scale value chains, but also smaller organic producers, consumers, and potential new organic actors in new forms of partnership and cooperation, as well as large-scale market chains.</w:t>
            </w:r>
          </w:p>
          <w:p w:rsidR="00E746BF" w:rsidRPr="004B74F4" w:rsidRDefault="00E746BF" w:rsidP="00A47358">
            <w:pPr>
              <w:tabs>
                <w:tab w:val="left" w:pos="1112"/>
              </w:tabs>
              <w:spacing w:after="0" w:line="240" w:lineRule="auto"/>
              <w:rPr>
                <w:rFonts w:eastAsia="Times New Roman" w:cs="Calibri"/>
                <w:color w:val="000000" w:themeColor="text1"/>
                <w:lang w:val="en-GB" w:eastAsia="da-DK"/>
              </w:rPr>
            </w:pPr>
          </w:p>
        </w:tc>
      </w:tr>
    </w:tbl>
    <w:p w:rsidR="000C2398" w:rsidRPr="00647477" w:rsidRDefault="000C2398" w:rsidP="002343E0">
      <w:pPr>
        <w:rPr>
          <w:lang w:val="en-GB"/>
        </w:rPr>
      </w:pPr>
    </w:p>
    <w:sectPr w:rsidR="000C2398" w:rsidRPr="00647477" w:rsidSect="00E746BF">
      <w:footerReference w:type="default" r:id="rId7"/>
      <w:headerReference w:type="firs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BF" w:rsidRDefault="00E746BF" w:rsidP="00E746BF">
      <w:pPr>
        <w:spacing w:after="0" w:line="240" w:lineRule="auto"/>
      </w:pPr>
      <w:r>
        <w:separator/>
      </w:r>
    </w:p>
  </w:endnote>
  <w:endnote w:type="continuationSeparator" w:id="0">
    <w:p w:rsidR="00E746BF" w:rsidRDefault="00E746BF" w:rsidP="00E7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BF" w:rsidRDefault="00E746BF" w:rsidP="00E746BF">
    <w:pPr>
      <w:pStyle w:val="Footer"/>
      <w:jc w:val="center"/>
    </w:pPr>
    <w:r>
      <w:rPr>
        <w:noProof/>
        <w:lang w:val="en-GB" w:eastAsia="en-GB"/>
      </w:rPr>
      <w:drawing>
        <wp:inline distT="0" distB="0" distL="0" distR="0">
          <wp:extent cx="1752600" cy="5394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I-background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53949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BF" w:rsidRDefault="00E746BF" w:rsidP="00E746BF">
      <w:pPr>
        <w:spacing w:after="0" w:line="240" w:lineRule="auto"/>
      </w:pPr>
      <w:r>
        <w:separator/>
      </w:r>
    </w:p>
  </w:footnote>
  <w:footnote w:type="continuationSeparator" w:id="0">
    <w:p w:rsidR="00E746BF" w:rsidRDefault="00E746BF" w:rsidP="00E74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BF" w:rsidRDefault="00E746BF">
    <w:pPr>
      <w:pStyle w:val="Header"/>
    </w:pPr>
    <w:r>
      <w:rPr>
        <w:noProof/>
        <w:lang w:val="en-GB" w:eastAsia="en-GB"/>
      </w:rPr>
      <w:drawing>
        <wp:inline distT="0" distB="0" distL="0" distR="0" wp14:anchorId="5F3BCB55" wp14:editId="13F4671B">
          <wp:extent cx="6645910" cy="11074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organicII_bred.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074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98"/>
    <w:rsid w:val="0002322B"/>
    <w:rsid w:val="00040F54"/>
    <w:rsid w:val="000453E4"/>
    <w:rsid w:val="000C2398"/>
    <w:rsid w:val="000E1B66"/>
    <w:rsid w:val="001A5F50"/>
    <w:rsid w:val="001B78C2"/>
    <w:rsid w:val="001C3C99"/>
    <w:rsid w:val="001C78FC"/>
    <w:rsid w:val="002343E0"/>
    <w:rsid w:val="00265337"/>
    <w:rsid w:val="00350B92"/>
    <w:rsid w:val="003A4990"/>
    <w:rsid w:val="003F5CCC"/>
    <w:rsid w:val="004B74F4"/>
    <w:rsid w:val="004C63A1"/>
    <w:rsid w:val="004E074A"/>
    <w:rsid w:val="004E66AD"/>
    <w:rsid w:val="00507633"/>
    <w:rsid w:val="005218FD"/>
    <w:rsid w:val="005A6AE0"/>
    <w:rsid w:val="005D4BA2"/>
    <w:rsid w:val="005E5E8E"/>
    <w:rsid w:val="006114D4"/>
    <w:rsid w:val="0061215C"/>
    <w:rsid w:val="006168D2"/>
    <w:rsid w:val="00631F64"/>
    <w:rsid w:val="00647477"/>
    <w:rsid w:val="00696B26"/>
    <w:rsid w:val="007064C7"/>
    <w:rsid w:val="00707988"/>
    <w:rsid w:val="00731FE7"/>
    <w:rsid w:val="00807930"/>
    <w:rsid w:val="00863247"/>
    <w:rsid w:val="00941877"/>
    <w:rsid w:val="009B2064"/>
    <w:rsid w:val="009D7CC0"/>
    <w:rsid w:val="00A47358"/>
    <w:rsid w:val="00BE7F28"/>
    <w:rsid w:val="00C12B81"/>
    <w:rsid w:val="00C60EDC"/>
    <w:rsid w:val="00C72ADD"/>
    <w:rsid w:val="00CD4564"/>
    <w:rsid w:val="00D05470"/>
    <w:rsid w:val="00E746BF"/>
    <w:rsid w:val="00E74B5D"/>
    <w:rsid w:val="00E84548"/>
    <w:rsid w:val="00ED0E16"/>
    <w:rsid w:val="00EF4C60"/>
    <w:rsid w:val="00F67034"/>
    <w:rsid w:val="00FB2A44"/>
    <w:rsid w:val="00FB4207"/>
    <w:rsid w:val="00FC176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58"/>
    <w:rPr>
      <w:rFonts w:ascii="Tahoma" w:hAnsi="Tahoma" w:cs="Tahoma"/>
      <w:sz w:val="16"/>
      <w:szCs w:val="16"/>
      <w:lang w:eastAsia="en-US"/>
    </w:rPr>
  </w:style>
  <w:style w:type="paragraph" w:styleId="Header">
    <w:name w:val="header"/>
    <w:basedOn w:val="Normal"/>
    <w:link w:val="HeaderChar"/>
    <w:uiPriority w:val="99"/>
    <w:unhideWhenUsed/>
    <w:rsid w:val="00E746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46BF"/>
    <w:rPr>
      <w:sz w:val="22"/>
      <w:szCs w:val="22"/>
      <w:lang w:eastAsia="en-US"/>
    </w:rPr>
  </w:style>
  <w:style w:type="paragraph" w:styleId="Footer">
    <w:name w:val="footer"/>
    <w:basedOn w:val="Normal"/>
    <w:link w:val="FooterChar"/>
    <w:uiPriority w:val="99"/>
    <w:unhideWhenUsed/>
    <w:rsid w:val="00E746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46B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58"/>
    <w:rPr>
      <w:rFonts w:ascii="Tahoma" w:hAnsi="Tahoma" w:cs="Tahoma"/>
      <w:sz w:val="16"/>
      <w:szCs w:val="16"/>
      <w:lang w:eastAsia="en-US"/>
    </w:rPr>
  </w:style>
  <w:style w:type="paragraph" w:styleId="Header">
    <w:name w:val="header"/>
    <w:basedOn w:val="Normal"/>
    <w:link w:val="HeaderChar"/>
    <w:uiPriority w:val="99"/>
    <w:unhideWhenUsed/>
    <w:rsid w:val="00E746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46BF"/>
    <w:rPr>
      <w:sz w:val="22"/>
      <w:szCs w:val="22"/>
      <w:lang w:eastAsia="en-US"/>
    </w:rPr>
  </w:style>
  <w:style w:type="paragraph" w:styleId="Footer">
    <w:name w:val="footer"/>
    <w:basedOn w:val="Normal"/>
    <w:link w:val="FooterChar"/>
    <w:uiPriority w:val="99"/>
    <w:unhideWhenUsed/>
    <w:rsid w:val="00E746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46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7992">
      <w:bodyDiv w:val="1"/>
      <w:marLeft w:val="0"/>
      <w:marRight w:val="0"/>
      <w:marTop w:val="0"/>
      <w:marBottom w:val="0"/>
      <w:divBdr>
        <w:top w:val="none" w:sz="0" w:space="0" w:color="auto"/>
        <w:left w:val="none" w:sz="0" w:space="0" w:color="auto"/>
        <w:bottom w:val="none" w:sz="0" w:space="0" w:color="auto"/>
        <w:right w:val="none" w:sz="0" w:space="0" w:color="auto"/>
      </w:divBdr>
    </w:div>
    <w:div w:id="151222514">
      <w:bodyDiv w:val="1"/>
      <w:marLeft w:val="0"/>
      <w:marRight w:val="0"/>
      <w:marTop w:val="0"/>
      <w:marBottom w:val="0"/>
      <w:divBdr>
        <w:top w:val="none" w:sz="0" w:space="0" w:color="auto"/>
        <w:left w:val="none" w:sz="0" w:space="0" w:color="auto"/>
        <w:bottom w:val="none" w:sz="0" w:space="0" w:color="auto"/>
        <w:right w:val="none" w:sz="0" w:space="0" w:color="auto"/>
      </w:divBdr>
    </w:div>
    <w:div w:id="278265999">
      <w:bodyDiv w:val="1"/>
      <w:marLeft w:val="0"/>
      <w:marRight w:val="0"/>
      <w:marTop w:val="0"/>
      <w:marBottom w:val="0"/>
      <w:divBdr>
        <w:top w:val="none" w:sz="0" w:space="0" w:color="auto"/>
        <w:left w:val="none" w:sz="0" w:space="0" w:color="auto"/>
        <w:bottom w:val="none" w:sz="0" w:space="0" w:color="auto"/>
        <w:right w:val="none" w:sz="0" w:space="0" w:color="auto"/>
      </w:divBdr>
    </w:div>
    <w:div w:id="609050496">
      <w:bodyDiv w:val="1"/>
      <w:marLeft w:val="0"/>
      <w:marRight w:val="0"/>
      <w:marTop w:val="0"/>
      <w:marBottom w:val="0"/>
      <w:divBdr>
        <w:top w:val="none" w:sz="0" w:space="0" w:color="auto"/>
        <w:left w:val="none" w:sz="0" w:space="0" w:color="auto"/>
        <w:bottom w:val="none" w:sz="0" w:space="0" w:color="auto"/>
        <w:right w:val="none" w:sz="0" w:space="0" w:color="auto"/>
      </w:divBdr>
    </w:div>
    <w:div w:id="766121797">
      <w:bodyDiv w:val="1"/>
      <w:marLeft w:val="0"/>
      <w:marRight w:val="0"/>
      <w:marTop w:val="0"/>
      <w:marBottom w:val="0"/>
      <w:divBdr>
        <w:top w:val="none" w:sz="0" w:space="0" w:color="auto"/>
        <w:left w:val="none" w:sz="0" w:space="0" w:color="auto"/>
        <w:bottom w:val="none" w:sz="0" w:space="0" w:color="auto"/>
        <w:right w:val="none" w:sz="0" w:space="0" w:color="auto"/>
      </w:divBdr>
    </w:div>
    <w:div w:id="1807890903">
      <w:bodyDiv w:val="1"/>
      <w:marLeft w:val="0"/>
      <w:marRight w:val="0"/>
      <w:marTop w:val="0"/>
      <w:marBottom w:val="0"/>
      <w:divBdr>
        <w:top w:val="none" w:sz="0" w:space="0" w:color="auto"/>
        <w:left w:val="none" w:sz="0" w:space="0" w:color="auto"/>
        <w:bottom w:val="none" w:sz="0" w:space="0" w:color="auto"/>
        <w:right w:val="none" w:sz="0" w:space="0" w:color="auto"/>
      </w:divBdr>
    </w:div>
    <w:div w:id="203306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University</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ULBE</dc:creator>
  <cp:lastModifiedBy>Ulla Bertelsen</cp:lastModifiedBy>
  <cp:revision>3</cp:revision>
  <cp:lastPrinted>2012-09-24T08:48:00Z</cp:lastPrinted>
  <dcterms:created xsi:type="dcterms:W3CDTF">2013-01-23T14:42:00Z</dcterms:created>
  <dcterms:modified xsi:type="dcterms:W3CDTF">2013-02-13T08:48:00Z</dcterms:modified>
</cp:coreProperties>
</file>